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8090D" w14:textId="77777777" w:rsidR="00B16364" w:rsidRDefault="00000000">
      <w:pPr>
        <w:snapToGrid w:val="0"/>
        <w:ind w:leftChars="7" w:left="15"/>
        <w:rPr>
          <w:rFonts w:ascii="公文小标宋简" w:eastAsia="黑体" w:hAnsi="仿宋" w:hint="eastAsia"/>
          <w:bCs/>
          <w:sz w:val="44"/>
          <w:szCs w:val="44"/>
        </w:rPr>
      </w:pPr>
      <w:r>
        <w:rPr>
          <w:rFonts w:ascii="黑体" w:eastAsia="黑体" w:hAnsi="黑体" w:cs="黑体" w:hint="eastAsia"/>
          <w:sz w:val="28"/>
          <w:szCs w:val="24"/>
        </w:rPr>
        <w:t>附件1</w:t>
      </w:r>
    </w:p>
    <w:p w14:paraId="0511EA07" w14:textId="77777777" w:rsidR="00B16364" w:rsidRDefault="00000000">
      <w:pPr>
        <w:snapToGrid w:val="0"/>
        <w:ind w:leftChars="7" w:left="15"/>
        <w:jc w:val="center"/>
        <w:rPr>
          <w:rFonts w:ascii="仿宋_GB2312" w:eastAsia="公文小标宋简" w:hAnsi="仿宋" w:hint="eastAsia"/>
          <w:sz w:val="24"/>
          <w:szCs w:val="24"/>
        </w:rPr>
      </w:pPr>
      <w:r>
        <w:rPr>
          <w:rFonts w:ascii="公文小标宋简" w:eastAsia="公文小标宋简" w:hAnsi="仿宋" w:hint="eastAsia"/>
          <w:bCs/>
          <w:sz w:val="44"/>
          <w:szCs w:val="44"/>
        </w:rPr>
        <w:t>用户需求书</w:t>
      </w:r>
    </w:p>
    <w:p w14:paraId="0495D269" w14:textId="77777777" w:rsidR="00B16364" w:rsidRDefault="00B16364"/>
    <w:p w14:paraId="379F5437" w14:textId="77777777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t>一、项目名称</w:t>
      </w:r>
    </w:p>
    <w:p w14:paraId="1B7A07E6" w14:textId="77777777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番禺区健康管理中心蓬莱和桃源康复区微改造工程设计项目</w:t>
      </w:r>
    </w:p>
    <w:p w14:paraId="07C0E432" w14:textId="77777777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t>二、项目预算</w:t>
      </w:r>
    </w:p>
    <w:p w14:paraId="1F4F347A" w14:textId="77777777" w:rsidR="00B16364" w:rsidRDefault="00000000">
      <w:pPr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（一）报价最高限价</w:t>
      </w:r>
    </w:p>
    <w:p w14:paraId="73C84423" w14:textId="47A30A91" w:rsidR="00B16364" w:rsidRDefault="00000000">
      <w:pPr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1.报价最高限价为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</w:t>
      </w:r>
      <w:r w:rsidR="00982AA7">
        <w:rPr>
          <w:rFonts w:ascii="仿宋_GB2312" w:eastAsia="仿宋_GB2312" w:hAnsi="仿宋" w:hint="eastAsia"/>
          <w:sz w:val="28"/>
          <w:szCs w:val="24"/>
          <w:u w:val="single"/>
        </w:rPr>
        <w:t>37820.03</w:t>
      </w:r>
      <w:r>
        <w:rPr>
          <w:rFonts w:ascii="仿宋_GB2312" w:eastAsia="仿宋_GB2312" w:hAnsi="仿宋" w:hint="eastAsia"/>
          <w:sz w:val="28"/>
          <w:szCs w:val="24"/>
          <w:u w:val="single"/>
        </w:rPr>
        <w:t xml:space="preserve"> </w:t>
      </w:r>
      <w:r>
        <w:rPr>
          <w:rFonts w:ascii="仿宋_GB2312" w:eastAsia="仿宋_GB2312" w:hAnsi="仿宋" w:hint="eastAsia"/>
          <w:sz w:val="28"/>
          <w:szCs w:val="24"/>
        </w:rPr>
        <w:t>元，设计费限价参考国家计委、建设部关于发布《工程勘察设计收费管理规定》的通知（计价格[2002]10号）等有关计费标准计取，计取方式详见附件2。</w:t>
      </w:r>
    </w:p>
    <w:p w14:paraId="77F8876C" w14:textId="77777777" w:rsidR="00B16364" w:rsidRDefault="00000000">
      <w:pPr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2.对报价不高于最高限价的视为有效报价，否则将视为无效报价。</w:t>
      </w:r>
    </w:p>
    <w:p w14:paraId="2E9AC61C" w14:textId="77777777" w:rsidR="00B16364" w:rsidRDefault="00000000">
      <w:pPr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（二）结算方式</w:t>
      </w:r>
    </w:p>
    <w:p w14:paraId="2B735DAF" w14:textId="77777777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本项目为总价包干项目，合同价即为结算价。</w:t>
      </w:r>
    </w:p>
    <w:p w14:paraId="52523D7D" w14:textId="3573711F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t>三、投资</w:t>
      </w:r>
      <w:r w:rsidR="00BF4269">
        <w:rPr>
          <w:rFonts w:ascii="黑体" w:eastAsia="黑体" w:hAnsi="黑体" w:cs="黑体" w:hint="eastAsia"/>
          <w:sz w:val="28"/>
          <w:szCs w:val="24"/>
        </w:rPr>
        <w:t>规模</w:t>
      </w:r>
    </w:p>
    <w:p w14:paraId="4C89EC88" w14:textId="09B59A5D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番禺区健康管理中心蓬莱和桃源康复区微改造工程立项</w:t>
      </w:r>
      <w:r w:rsidR="00BF4269">
        <w:rPr>
          <w:rFonts w:ascii="仿宋_GB2312" w:eastAsia="仿宋_GB2312" w:hAnsi="仿宋" w:hint="eastAsia"/>
          <w:sz w:val="28"/>
          <w:szCs w:val="24"/>
        </w:rPr>
        <w:t>总投资</w:t>
      </w:r>
      <w:r>
        <w:rPr>
          <w:rFonts w:ascii="仿宋_GB2312" w:eastAsia="仿宋_GB2312" w:hAnsi="仿宋" w:hint="eastAsia"/>
          <w:sz w:val="28"/>
          <w:szCs w:val="24"/>
        </w:rPr>
        <w:t>为56.85万元，其中工程建安费为498744元，</w:t>
      </w:r>
      <w:r>
        <w:rPr>
          <w:rFonts w:ascii="仿宋_GB2312" w:eastAsia="仿宋_GB2312" w:hAnsi="仿宋"/>
          <w:sz w:val="28"/>
          <w:szCs w:val="24"/>
        </w:rPr>
        <w:t>其他采购费10000元</w:t>
      </w:r>
      <w:r>
        <w:rPr>
          <w:rFonts w:ascii="仿宋_GB2312" w:eastAsia="仿宋_GB2312" w:hAnsi="仿宋" w:hint="eastAsia"/>
          <w:sz w:val="28"/>
          <w:szCs w:val="24"/>
        </w:rPr>
        <w:t>（空调、家具等），</w:t>
      </w:r>
      <w:r>
        <w:rPr>
          <w:rFonts w:ascii="仿宋_GB2312" w:eastAsia="仿宋_GB2312" w:hAnsi="仿宋"/>
          <w:sz w:val="28"/>
          <w:szCs w:val="24"/>
        </w:rPr>
        <w:t>工程其他费用为59768.28元</w:t>
      </w:r>
      <w:r>
        <w:rPr>
          <w:rFonts w:ascii="仿宋_GB2312" w:eastAsia="仿宋_GB2312" w:hAnsi="仿宋" w:hint="eastAsia"/>
          <w:sz w:val="28"/>
          <w:szCs w:val="24"/>
        </w:rPr>
        <w:t>。</w:t>
      </w:r>
    </w:p>
    <w:p w14:paraId="456F08A0" w14:textId="77777777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t>四、建设规模</w:t>
      </w:r>
    </w:p>
    <w:p w14:paraId="35F2D2A4" w14:textId="77777777" w:rsidR="00B16364" w:rsidRDefault="00000000">
      <w:pPr>
        <w:snapToGrid w:val="0"/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4"/>
        </w:rPr>
      </w:pPr>
      <w:r>
        <w:rPr>
          <w:rFonts w:ascii="仿宋_GB2312" w:eastAsia="仿宋_GB2312" w:hAnsi="仿宋" w:hint="eastAsia"/>
          <w:sz w:val="28"/>
          <w:szCs w:val="24"/>
        </w:rPr>
        <w:t>蓬莱和桃源康复区总建筑面积约5735.94平方米，本次拟参考使用部门（科室）改造需求并结合二甲康复专科医院医疗空间相关设计标准，对5号楼、7号楼、9号楼、10号楼、地埋式消防泵房及相关建构筑物进行微改造，涉及改造区域的建筑面积约380平方米。</w:t>
      </w:r>
    </w:p>
    <w:p w14:paraId="11FADAE4" w14:textId="77777777" w:rsidR="00B16364" w:rsidRDefault="00000000">
      <w:pPr>
        <w:snapToGrid w:val="0"/>
        <w:spacing w:line="560" w:lineRule="exact"/>
        <w:ind w:firstLineChars="200" w:firstLine="560"/>
        <w:rPr>
          <w:rFonts w:ascii="黑体" w:eastAsia="黑体" w:hAnsi="黑体" w:cs="黑体" w:hint="eastAsia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t>五、建设内容</w:t>
      </w:r>
    </w:p>
    <w:p w14:paraId="54AF2D5A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楷体_GB2312" w:eastAsia="楷体_GB2312" w:hAnsi="仿宋_GB2312" w:cs="仿宋_GB2312" w:hint="eastAsia"/>
          <w:sz w:val="28"/>
          <w:szCs w:val="28"/>
        </w:rPr>
      </w:pPr>
      <w:r>
        <w:rPr>
          <w:rFonts w:ascii="楷体_GB2312" w:eastAsia="楷体_GB2312" w:hAnsi="仿宋_GB2312" w:cs="仿宋_GB2312"/>
          <w:sz w:val="28"/>
          <w:szCs w:val="28"/>
        </w:rPr>
        <w:t>（一）蓬莱康复区（神经康复科）</w:t>
      </w:r>
    </w:p>
    <w:p w14:paraId="6B4BA0DD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1.卫生间改造：拆除5号楼首层公共卫生间，改造为医生、护士</w:t>
      </w:r>
      <w:r>
        <w:rPr>
          <w:rFonts w:ascii="仿宋_GB2312" w:eastAsia="仿宋_GB2312" w:hAnsi="仿宋_GB2312" w:cs="仿宋_GB2312"/>
          <w:sz w:val="28"/>
          <w:szCs w:val="28"/>
        </w:rPr>
        <w:lastRenderedPageBreak/>
        <w:t>值班室，并配备值班卫生间，建筑面积约40平方米。</w:t>
      </w:r>
    </w:p>
    <w:p w14:paraId="61318A94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工具间改造：根据医院感染管理有关要求，5号楼首层楼梯间砌筑墙体，铺设给排水和强电管网，设置洗手池、拖把池等，并满足清洁车放置需求，建筑面积约5平方米。（如5号楼给排水改造条件复杂，可挑选1号楼、2号楼或6号楼进行改造）</w:t>
      </w:r>
    </w:p>
    <w:p w14:paraId="0DD1ADC4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楷体_GB2312" w:eastAsia="楷体_GB2312" w:hAnsi="仿宋_GB2312" w:cs="仿宋_GB2312" w:hint="eastAsia"/>
          <w:sz w:val="28"/>
          <w:szCs w:val="28"/>
        </w:rPr>
      </w:pPr>
      <w:r>
        <w:rPr>
          <w:rFonts w:ascii="楷体_GB2312" w:eastAsia="楷体_GB2312" w:hAnsi="仿宋_GB2312" w:cs="仿宋_GB2312"/>
          <w:sz w:val="28"/>
          <w:szCs w:val="28"/>
        </w:rPr>
        <w:t>（二）桃源康复区（老年康复科）</w:t>
      </w:r>
    </w:p>
    <w:p w14:paraId="4BA69589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1.生命通道建设：7号楼及10号楼二层通道处拆除门窗并安装玻璃地弹门（带门禁、监控等），并增设连廊楼板，同步设置耐力板雨棚，雨棚面积约150平方米。</w:t>
      </w:r>
    </w:p>
    <w:p w14:paraId="7694CFC8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2.风雨连廊建设：9号楼通往旧员工餐厅区域设置耐力板雨棚，面积约150平方米。</w:t>
      </w:r>
    </w:p>
    <w:p w14:paraId="0A971806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.工具间改造：根据医院感染管理有关要求，10号楼首层楼梯间砌筑墙体，铺设给排水和强电管网，设置洗手池、拖把池等，并满足清洁车放置需求，建筑面积约5平方米。（如10号楼给排水改造条件复杂，可挑选7号楼、8号楼或9号楼进行改造）</w:t>
      </w:r>
    </w:p>
    <w:p w14:paraId="39E29735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楷体_GB2312" w:eastAsia="楷体_GB2312" w:hAnsi="仿宋_GB2312" w:cs="仿宋_GB2312" w:hint="eastAsia"/>
          <w:sz w:val="28"/>
          <w:szCs w:val="28"/>
        </w:rPr>
      </w:pPr>
      <w:r>
        <w:rPr>
          <w:rFonts w:ascii="楷体_GB2312" w:eastAsia="楷体_GB2312" w:hAnsi="仿宋_GB2312" w:cs="仿宋_GB2312"/>
          <w:sz w:val="28"/>
          <w:szCs w:val="28"/>
        </w:rPr>
        <w:t>（三）</w:t>
      </w:r>
      <w:bookmarkStart w:id="0" w:name="_Hlk217486006"/>
      <w:r>
        <w:rPr>
          <w:rFonts w:ascii="楷体_GB2312" w:eastAsia="楷体_GB2312" w:hAnsi="仿宋_GB2312" w:cs="仿宋_GB2312"/>
          <w:sz w:val="28"/>
          <w:szCs w:val="28"/>
        </w:rPr>
        <w:t>蓬莱和桃源康复区</w:t>
      </w:r>
      <w:bookmarkEnd w:id="0"/>
      <w:r>
        <w:rPr>
          <w:rFonts w:ascii="楷体_GB2312" w:eastAsia="楷体_GB2312" w:hAnsi="仿宋_GB2312" w:cs="仿宋_GB2312"/>
          <w:sz w:val="28"/>
          <w:szCs w:val="28"/>
        </w:rPr>
        <w:t>公共区域</w:t>
      </w:r>
    </w:p>
    <w:p w14:paraId="69B8060D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1.地下消防泵房改造：对蓬莱康复区地埋式消防泵房疏散梯上部加装挡雨百叶，并在消防设备间室外设置截水沟、隔墙和封闭防火门，涉及改造面积约20平方米。</w:t>
      </w:r>
    </w:p>
    <w:p w14:paraId="208C175B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2.道闸雨棚建设：对蓬莱和桃源康复区出入口电子道闸设置耐力板雨棚，道闸共计三套，雨棚面积共约10平方米。</w:t>
      </w:r>
    </w:p>
    <w:p w14:paraId="46C9E872" w14:textId="77777777" w:rsidR="00B16364" w:rsidRDefault="00000000">
      <w:pPr>
        <w:tabs>
          <w:tab w:val="left" w:pos="7426"/>
          <w:tab w:val="left" w:pos="7584"/>
          <w:tab w:val="left" w:pos="7900"/>
        </w:tabs>
        <w:spacing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（备注：最终建设内容以</w:t>
      </w:r>
      <w:r>
        <w:rPr>
          <w:rFonts w:ascii="仿宋_GB2312" w:eastAsia="仿宋_GB2312" w:hAnsi="仿宋" w:hint="eastAsia"/>
          <w:sz w:val="28"/>
          <w:szCs w:val="24"/>
        </w:rPr>
        <w:t>建设单位实际要求为准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</w:p>
    <w:p w14:paraId="1870ACC9" w14:textId="77777777" w:rsidR="00B16364" w:rsidRDefault="00000000">
      <w:pPr>
        <w:spacing w:line="560" w:lineRule="exact"/>
        <w:ind w:leftChars="100" w:left="210" w:firstLineChars="100" w:firstLine="280"/>
        <w:rPr>
          <w:rFonts w:ascii="黑体" w:eastAsia="黑体" w:hAnsi="黑体" w:cs="黑体" w:hint="eastAsia"/>
          <w:sz w:val="28"/>
          <w:szCs w:val="24"/>
        </w:rPr>
      </w:pPr>
      <w:r>
        <w:rPr>
          <w:rFonts w:ascii="黑体" w:eastAsia="黑体" w:hAnsi="黑体" w:cs="黑体" w:hint="eastAsia"/>
          <w:sz w:val="28"/>
          <w:szCs w:val="24"/>
        </w:rPr>
        <w:t>六、服务内容</w:t>
      </w:r>
    </w:p>
    <w:p w14:paraId="1795AB93" w14:textId="77777777" w:rsidR="00B16364" w:rsidRDefault="00000000">
      <w:pPr>
        <w:ind w:firstLineChars="200" w:firstLine="560"/>
      </w:pPr>
      <w:r>
        <w:rPr>
          <w:rFonts w:ascii="仿宋_GB2312" w:eastAsia="仿宋_GB2312" w:hAnsi="仿宋" w:hint="eastAsia"/>
          <w:sz w:val="28"/>
          <w:szCs w:val="24"/>
        </w:rPr>
        <w:t>包括但不限于方案设计、结构设计、暖通水电设计、消防设计、</w:t>
      </w:r>
      <w:r>
        <w:rPr>
          <w:rFonts w:ascii="仿宋_GB2312" w:eastAsia="仿宋_GB2312" w:hAnsi="仿宋" w:hint="eastAsia"/>
          <w:sz w:val="28"/>
          <w:szCs w:val="24"/>
        </w:rPr>
        <w:lastRenderedPageBreak/>
        <w:t>施工图绘制、工程概（预）算编制等，并配合现场指导与监督、材料样板选取（重要部位板材需提供实物样板供施工单位参考采购安装）、竣工图编制以及建设全过程设计服务协调工作等。</w:t>
      </w:r>
    </w:p>
    <w:sectPr w:rsidR="00B16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52842" w14:textId="77777777" w:rsidR="00461682" w:rsidRDefault="00461682" w:rsidP="00982AA7">
      <w:r>
        <w:separator/>
      </w:r>
    </w:p>
  </w:endnote>
  <w:endnote w:type="continuationSeparator" w:id="0">
    <w:p w14:paraId="29D51361" w14:textId="77777777" w:rsidR="00461682" w:rsidRDefault="00461682" w:rsidP="00982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公文小标宋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7E01" w14:textId="77777777" w:rsidR="00461682" w:rsidRDefault="00461682" w:rsidP="00982AA7">
      <w:r>
        <w:separator/>
      </w:r>
    </w:p>
  </w:footnote>
  <w:footnote w:type="continuationSeparator" w:id="0">
    <w:p w14:paraId="5254EBFC" w14:textId="77777777" w:rsidR="00461682" w:rsidRDefault="00461682" w:rsidP="00982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F8371ED"/>
    <w:rsid w:val="00391549"/>
    <w:rsid w:val="00461682"/>
    <w:rsid w:val="007457E1"/>
    <w:rsid w:val="00982AA7"/>
    <w:rsid w:val="00B16364"/>
    <w:rsid w:val="00BF4269"/>
    <w:rsid w:val="00E80CC9"/>
    <w:rsid w:val="2F83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3EAF21"/>
  <w15:docId w15:val="{2410645C-CD56-48E0-A9DF-18B2780F2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82A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82AA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82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82AA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565</Words>
  <Characters>594</Characters>
  <Application>Microsoft Office Word</Application>
  <DocSecurity>0</DocSecurity>
  <Lines>28</Lines>
  <Paragraphs>28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沛文</dc:creator>
  <cp:lastModifiedBy>a49029</cp:lastModifiedBy>
  <cp:revision>4</cp:revision>
  <dcterms:created xsi:type="dcterms:W3CDTF">2026-01-15T05:10:00Z</dcterms:created>
  <dcterms:modified xsi:type="dcterms:W3CDTF">2026-01-15T08:32:00Z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99C870229D704413AFA8CC994EA47D0F_11</vt:lpwstr>
  </property>
</Properties>
</file>